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="75" w:beforeAutospacing="0" w:after="75" w:afterAutospacing="0"/>
        <w:ind w:firstLine="420"/>
        <w:rPr>
          <w:rStyle w:val="6"/>
          <w:rFonts w:asciiTheme="minorEastAsia" w:hAnsiTheme="minorEastAsia" w:cstheme="minorEastAsia"/>
          <w:b w:val="0"/>
          <w:bCs/>
          <w:color w:val="000000"/>
        </w:rPr>
      </w:pPr>
      <w:r>
        <w:rPr>
          <w:rStyle w:val="6"/>
          <w:rFonts w:hint="eastAsia" w:asciiTheme="minorEastAsia" w:hAnsiTheme="minorEastAsia" w:cstheme="minorEastAsia"/>
          <w:b w:val="0"/>
          <w:bCs/>
          <w:color w:val="000000"/>
        </w:rPr>
        <w:t>附件</w:t>
      </w:r>
      <w:r>
        <w:rPr>
          <w:rStyle w:val="6"/>
          <w:rFonts w:hint="default" w:asciiTheme="minorEastAsia" w:hAnsiTheme="minorEastAsia" w:cstheme="minorEastAsia"/>
          <w:b w:val="0"/>
          <w:bCs/>
          <w:color w:val="000000"/>
        </w:rPr>
        <w:t>1</w:t>
      </w:r>
      <w:bookmarkStart w:id="0" w:name="_GoBack"/>
      <w:bookmarkEnd w:id="0"/>
      <w:r>
        <w:rPr>
          <w:rStyle w:val="6"/>
          <w:rFonts w:hint="eastAsia" w:asciiTheme="minorEastAsia" w:hAnsiTheme="minorEastAsia" w:cstheme="minorEastAsia"/>
          <w:b w:val="0"/>
          <w:bCs/>
          <w:color w:val="000000"/>
        </w:rPr>
        <w:t>:</w:t>
      </w:r>
    </w:p>
    <w:p>
      <w:pPr>
        <w:pStyle w:val="4"/>
        <w:widowControl/>
        <w:spacing w:before="75" w:beforeAutospacing="0" w:after="75" w:afterAutospacing="0"/>
        <w:ind w:firstLine="420"/>
        <w:jc w:val="center"/>
        <w:rPr>
          <w:rStyle w:val="6"/>
          <w:rFonts w:asciiTheme="minorEastAsia" w:hAnsiTheme="minorEastAsia" w:cstheme="minorEastAsia"/>
          <w:color w:val="000000"/>
          <w:sz w:val="28"/>
          <w:szCs w:val="28"/>
        </w:rPr>
      </w:pPr>
      <w:r>
        <w:rPr>
          <w:rStyle w:val="6"/>
          <w:rFonts w:hint="eastAsia" w:asciiTheme="minorEastAsia" w:hAnsiTheme="minorEastAsia" w:cstheme="minorEastAsia"/>
          <w:color w:val="000000"/>
          <w:sz w:val="28"/>
          <w:szCs w:val="28"/>
        </w:rPr>
        <w:t>中南财经政法大学2023届离校系统操作指南</w:t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亲爱的2023届全体毕业生：</w:t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时光飞逝，转眼间，2023届毕业生即将告别美丽的大学校园，踏上人生新的旅程。祝前程似锦，大展宏图！</w:t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一年一度的“中南财经政法大学离校系统”于2023年6月11日正式上线，请毕业班师生登录系统进行毕业离校操作。</w:t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一、登录</w:t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登录方法1：输入网址</w:t>
      </w:r>
      <w:r>
        <w:rPr>
          <w:rFonts w:asciiTheme="minorEastAsia" w:hAnsiTheme="minorEastAsia" w:cstheme="minorEastAsia"/>
          <w:color w:val="000000"/>
        </w:rPr>
        <w:t>http://jyzx.zuel.edu.cn:8002/</w:t>
      </w:r>
      <w:r>
        <w:rPr>
          <w:rFonts w:hint="eastAsia" w:asciiTheme="minorEastAsia" w:hAnsiTheme="minorEastAsia" w:cstheme="minorEastAsia"/>
          <w:color w:val="000000"/>
        </w:rPr>
        <w:t>进入登陆系统界面，</w:t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登陆方法2：中南财经政法大学就业信息网导航栏选择“离校系统”进入,</w:t>
      </w:r>
    </w:p>
    <w:p>
      <w:pPr>
        <w:pStyle w:val="4"/>
        <w:widowControl/>
        <w:spacing w:before="75" w:beforeAutospacing="0" w:after="75" w:afterAutospacing="0"/>
        <w:ind w:firstLine="420"/>
        <w:rPr>
          <w:rFonts w:hint="eastAsia" w:asciiTheme="minorEastAsia" w:hAnsiTheme="minorEastAsia" w:cstheme="minorEastAsia"/>
          <w:color w:val="000000"/>
        </w:rPr>
      </w:pPr>
      <w:r>
        <w:rPr>
          <w:rFonts w:asciiTheme="minorEastAsia" w:hAnsiTheme="minorEastAsia" w:cstheme="minorEastAsia"/>
          <w:color w:val="000000"/>
        </w:rPr>
        <w:drawing>
          <wp:inline distT="0" distB="0" distL="0" distR="0">
            <wp:extent cx="5274310" cy="1112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登录方法</w:t>
      </w:r>
      <w:r>
        <w:rPr>
          <w:rFonts w:asciiTheme="minorEastAsia" w:hAnsiTheme="minorEastAsia" w:cstheme="minorEastAsia"/>
          <w:color w:val="000000"/>
        </w:rPr>
        <w:t>3</w:t>
      </w:r>
      <w:r>
        <w:rPr>
          <w:rFonts w:hint="eastAsia" w:asciiTheme="minorEastAsia" w:hAnsiTheme="minorEastAsia" w:cstheme="minorEastAsia"/>
          <w:color w:val="000000"/>
        </w:rPr>
        <w:t>：使用企业号找到“工作台”“万能广场”“离校系统”</w:t>
      </w:r>
    </w:p>
    <w:p>
      <w:pPr>
        <w:pStyle w:val="4"/>
        <w:widowControl/>
        <w:spacing w:before="75" w:beforeAutospacing="0" w:after="75" w:afterAutospacing="0"/>
        <w:ind w:firstLine="420"/>
        <w:jc w:val="center"/>
        <w:rPr>
          <w:rFonts w:asciiTheme="minorEastAsia" w:hAnsiTheme="minorEastAsia" w:cstheme="minorEastAsia"/>
          <w:color w:val="000000"/>
        </w:rPr>
      </w:pPr>
      <w:r>
        <w:drawing>
          <wp:inline distT="0" distB="0" distL="0" distR="0">
            <wp:extent cx="4095750" cy="88633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登陆人员选择身份登录，系统会自动跳转至统一身份认证系统，输入用户名和密码进入相应的系统界面。</w:t>
      </w: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5271135" cy="2330450"/>
            <wp:effectExtent l="0" t="0" r="571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二、学生登录查询</w:t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学生进入离校系统后需要先完成调查问卷</w:t>
      </w:r>
    </w:p>
    <w:p>
      <w:pPr>
        <w:pStyle w:val="4"/>
        <w:widowControl/>
        <w:spacing w:before="75" w:beforeAutospacing="0" w:after="75" w:afterAutospacing="0"/>
        <w:ind w:firstLine="420"/>
        <w:jc w:val="center"/>
        <w:rPr>
          <w:rFonts w:hint="eastAsia" w:asciiTheme="minorEastAsia" w:hAnsiTheme="minorEastAsia" w:cstheme="minorEastAsia"/>
          <w:color w:val="000000"/>
        </w:rPr>
      </w:pPr>
      <w:r>
        <w:drawing>
          <wp:inline distT="0" distB="0" distL="0" distR="0">
            <wp:extent cx="5737860" cy="3088640"/>
            <wp:effectExtent l="0" t="0" r="0" b="0"/>
            <wp:docPr id="749272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7247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84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完成调查问卷后可以查询四个职能部门的手续办理情况，每个部门的具体信息可以点击图标进入查看详情，没有完成的选项请按照提示去相应部门进行办理。需保证四个职能部门全部完成后方可进入学院办理流程。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8595" cy="1380490"/>
            <wp:effectExtent l="0" t="0" r="825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hanging="480" w:hangingChars="200"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4785" cy="160718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hanging="480" w:hanging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三、教师核查后进行学院办理程序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 学院教师账号已经通过同步网签系统名单录入离校系统，请学院负责毕业班的教师进行登录。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 学院教师通过学号查询核对学生的部门办理情况，保证4个职能部门的办理都完成后，进入学院办理流程，发放相应证件。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3515" cy="1830705"/>
            <wp:effectExtent l="0" t="0" r="1333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675" cy="2333625"/>
            <wp:effectExtent l="0" t="0" r="31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="75" w:beforeAutospacing="0" w:after="75" w:afterAutospacing="0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</w:rPr>
        <w:t>四、</w:t>
      </w:r>
      <w:r>
        <w:rPr>
          <w:rFonts w:hint="eastAsia" w:asciiTheme="minorEastAsia" w:hAnsiTheme="minorEastAsia" w:cstheme="minorEastAsia"/>
          <w:color w:val="000000"/>
        </w:rPr>
        <w:t>系统问题解决方案（相关部门咨询电话）</w:t>
      </w:r>
    </w:p>
    <w:tbl>
      <w:tblPr>
        <w:tblStyle w:val="8"/>
        <w:tblW w:w="8429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1"/>
        <w:gridCol w:w="2291"/>
        <w:gridCol w:w="1864"/>
        <w:gridCol w:w="1074"/>
        <w:gridCol w:w="1139"/>
      </w:tblGrid>
      <w:tr>
        <w:trPr>
          <w:trHeight w:val="609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部门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联系科室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联系人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数据对接方式</w:t>
            </w:r>
          </w:p>
        </w:tc>
      </w:tr>
      <w:tr>
        <w:trPr>
          <w:trHeight w:val="817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学工部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学生事务管理办公室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刘微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88386981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研工部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研究生管理办公室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杨威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88386550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信息管理部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信息技术中心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郭翼飞、李想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 w:bidi="ar"/>
              </w:rPr>
              <w:t>88386190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后勤保障部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学生公寓服务中心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刘红玲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88386835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财务部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内控与信息化办公室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张伟东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88386901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图书馆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毕业论文提交系统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李美生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88387107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图书借还、欠款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罗静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88387112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超星阅读本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贺芳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88387110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17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保卫部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集体户口管理室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廖运雄、李建平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88386535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  <w:tr>
        <w:trPr>
          <w:trHeight w:val="826" w:hRule="atLeast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就业指导服务中心</w:t>
            </w:r>
          </w:p>
        </w:tc>
        <w:tc>
          <w:tcPr>
            <w:tcW w:w="2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离校系统BUG等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刘一鸣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王艳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15623040772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bidi="ar"/>
              </w:rPr>
              <w:t>网络上传</w:t>
            </w:r>
          </w:p>
        </w:tc>
      </w:tr>
    </w:tbl>
    <w:p>
      <w:pPr>
        <w:rPr>
          <w:rFonts w:asciiTheme="minorEastAsia" w:hAnsiTheme="minorEastAsia" w:cstheme="minorEastAsia"/>
          <w:sz w:val="24"/>
        </w:rPr>
      </w:pPr>
    </w:p>
    <w:p>
      <w:pPr>
        <w:jc w:val="righ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中南财经政法大学就业指导服务中心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                                      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                                    2023年6月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hint="eastAsia" w:asciiTheme="minorEastAsia" w:hAnsiTheme="minorEastAsia" w:cstheme="minorEastAsia"/>
          <w:sz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wMWQyNWRlMWI5ZmQ3ZmVlYmRhNWIwMWNiNWQ0M2MifQ=="/>
  </w:docVars>
  <w:rsids>
    <w:rsidRoot w:val="008A728B"/>
    <w:rsid w:val="001E188F"/>
    <w:rsid w:val="004372E5"/>
    <w:rsid w:val="008A728B"/>
    <w:rsid w:val="00927AF1"/>
    <w:rsid w:val="00D96097"/>
    <w:rsid w:val="00F00B15"/>
    <w:rsid w:val="00F839DE"/>
    <w:rsid w:val="05007E35"/>
    <w:rsid w:val="087A7F80"/>
    <w:rsid w:val="19CD6DD5"/>
    <w:rsid w:val="19EE72FF"/>
    <w:rsid w:val="235E37EE"/>
    <w:rsid w:val="35937614"/>
    <w:rsid w:val="3C085655"/>
    <w:rsid w:val="3FEE08B0"/>
    <w:rsid w:val="42285751"/>
    <w:rsid w:val="4B265C5B"/>
    <w:rsid w:val="50821E0A"/>
    <w:rsid w:val="5B80759A"/>
    <w:rsid w:val="5E352249"/>
    <w:rsid w:val="65076644"/>
    <w:rsid w:val="680B7192"/>
    <w:rsid w:val="681F3A6B"/>
    <w:rsid w:val="686874D4"/>
    <w:rsid w:val="6E1C2757"/>
    <w:rsid w:val="702C2FA9"/>
    <w:rsid w:val="75873A9C"/>
    <w:rsid w:val="7B423D22"/>
    <w:rsid w:val="7BB26844"/>
    <w:rsid w:val="7B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9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744</Words>
  <Characters>864</Characters>
  <Lines>7</Lines>
  <Paragraphs>2</Paragraphs>
  <TotalTime>0</TotalTime>
  <ScaleCrop>false</ScaleCrop>
  <LinksUpToDate>false</LinksUpToDate>
  <CharactersWithSpaces>952</CharactersWithSpaces>
  <Application>WPS Office_3.3.1.5149_F1E327BC-269C-435d-A152-05C5408002CA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2023-05-23T15:57:00Z</dcterms:created>
  <dc:creator>Administrator</dc:creator>
  <cp:lastModifiedBy>n</cp:lastModifiedBy>
  <cp:lastPrinted>2022-06-02T09:01:00Z</cp:lastPrinted>
  <dcterms:modified xsi:type="dcterms:W3CDTF">2023-06-06T17:42:52Z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  <property fmtid="{D5CDD505-2E9C-101B-9397-08002B2CF9AE}" pid="3" name="ICV">
    <vt:lpwstr>FDF638BA4D194925858AA168D46A942A</vt:lpwstr>
  </property>
</Properties>
</file>