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649" w:rsidRPr="00341649" w:rsidRDefault="00D95DB9" w:rsidP="00341649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附件1</w:t>
      </w:r>
    </w:p>
    <w:p w:rsidR="001557A5" w:rsidRPr="00341649" w:rsidRDefault="001557A5" w:rsidP="00341649">
      <w:pPr>
        <w:adjustRightInd w:val="0"/>
        <w:snapToGrid w:val="0"/>
        <w:spacing w:beforeLines="50" w:before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 w:rsidRPr="00341649"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关于举办2023年度“荆楚英才学校”</w:t>
      </w:r>
    </w:p>
    <w:p w:rsidR="001557A5" w:rsidRPr="00341649" w:rsidRDefault="001557A5" w:rsidP="00341649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 w:rsidRPr="00341649"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湖北省大学生骨干培训班的通知</w:t>
      </w:r>
    </w:p>
    <w:p w:rsidR="001557A5" w:rsidRPr="00341649" w:rsidRDefault="001557A5" w:rsidP="00341649">
      <w:pPr>
        <w:widowControl/>
        <w:adjustRightInd w:val="0"/>
        <w:snapToGrid w:val="0"/>
        <w:spacing w:line="460" w:lineRule="exact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各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相关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高校团委、学生会（研究生会）：</w:t>
      </w:r>
    </w:p>
    <w:p w:rsidR="001557A5" w:rsidRPr="00341649" w:rsidRDefault="001557A5" w:rsidP="00341649">
      <w:pPr>
        <w:widowControl/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为深入贯彻落</w:t>
      </w:r>
      <w:proofErr w:type="gramStart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实习近</w:t>
      </w:r>
      <w:proofErr w:type="gramEnd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平总书记关于青年工作的重要思想，围绕学习宣传贯彻党的二十大精神，在广大青年群体中厚植爱党、爱国、爱社会主义的情感，引领同学们牢记时代责任，</w:t>
      </w:r>
      <w:proofErr w:type="gramStart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坚定跟</w:t>
      </w:r>
      <w:proofErr w:type="gramEnd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党走、建功新时代，结合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我省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“青马工程”分层分类培养工作整体部署安排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，团省委、省学联决定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拟于8月下旬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举办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2023年度“荆楚英才学校”湖北省大学生骨干培训班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。有关事项通知如下：</w:t>
      </w:r>
    </w:p>
    <w:p w:rsidR="001557A5" w:rsidRDefault="001557A5" w:rsidP="00341649">
      <w:pPr>
        <w:widowControl/>
        <w:adjustRightInd w:val="0"/>
        <w:snapToGrid w:val="0"/>
        <w:spacing w:beforeLines="25" w:before="78" w:afterLines="25" w:after="78" w:line="4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一、培训目标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通过教育培训和实践锻炼，帮助大学生骨干深入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学习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宣传习近平新时代中国特色社会主义思想，学习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贯彻党的二十大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精神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，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进一步提升思想政治素质与政策理论水平，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用党的科学理论武装青年，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强化创新能力、实践能力和组织协调能力，</w:t>
      </w:r>
      <w:proofErr w:type="gramStart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提升团</w:t>
      </w:r>
      <w:proofErr w:type="gramEnd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学工作能力水平，促进发挥先锋模范作用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。</w:t>
      </w:r>
    </w:p>
    <w:p w:rsidR="001557A5" w:rsidRDefault="001557A5" w:rsidP="00341649">
      <w:pPr>
        <w:widowControl/>
        <w:adjustRightInd w:val="0"/>
        <w:snapToGrid w:val="0"/>
        <w:spacing w:beforeLines="25" w:before="78" w:afterLines="25" w:after="78" w:line="4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二、培训对象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全省具有较高思想政治素养的在校大学生骨干，各校拟推荐对象须同步符合《全省高校校级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“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青年马克思主义者培养工程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”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指导性标准》文件要求，须为校级青马工程的优秀学生或拟重点培养人员。基本条件为：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1.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2022级专科生，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202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1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级本科生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，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202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2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级研究生；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2.具有良好的道德品质、品学兼优，学习成绩为专业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或班级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排名前30%，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当前无不及格科目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；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3.艰苦朴素、吃苦耐劳、作风优良，在青年学生中认可度较高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；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4.曾参与学校“三下乡”、大学生社区实践计划等实践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lastRenderedPageBreak/>
        <w:t>活动。</w:t>
      </w:r>
    </w:p>
    <w:p w:rsidR="001557A5" w:rsidRDefault="001557A5" w:rsidP="00341649">
      <w:pPr>
        <w:widowControl/>
        <w:adjustRightInd w:val="0"/>
        <w:snapToGrid w:val="0"/>
        <w:spacing w:beforeLines="25" w:before="78" w:afterLines="25" w:after="78" w:line="4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三、培养</w:t>
      </w:r>
      <w:r>
        <w:rPr>
          <w:rFonts w:ascii="Times New Roman" w:eastAsia="黑体" w:hAnsi="Times New Roman" w:hint="eastAsia"/>
          <w:sz w:val="32"/>
          <w:szCs w:val="32"/>
        </w:rPr>
        <w:t>内容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继续实施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省、校两级联合培养模式，以集中培训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、实践锻炼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和在校培养相结合的方式进行，培训周期为一年。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集中培训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拟于202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3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年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8月下旬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进行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。培训内容重点涵盖政治建设、能力建设、作风建设等方面。结合深入学习党的二十大精神、开展理论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授课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、时政分析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等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不断促进学生骨干的政治建设，结合专项培训、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专题调研、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日常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实践等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切实强化综合能力建设，结合参观</w:t>
      </w:r>
      <w:proofErr w:type="gramStart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研</w:t>
      </w:r>
      <w:proofErr w:type="gramEnd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学、专题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研讨、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案例分析、日常管理等进一步加强作风建设。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培训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周期内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，将适当</w:t>
      </w:r>
      <w:proofErr w:type="gramStart"/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安排线</w:t>
      </w:r>
      <w:proofErr w:type="gramEnd"/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上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、线下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参与团省委学校部、省学联秘书处相关工作，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提高实践工作能力。各高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校可结合校级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“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青马工程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”“团学骨干培训”等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进行联合培养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，对学员理论学习、志愿服务、实践锻炼、团学工作等同步进行督促指导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。</w:t>
      </w:r>
    </w:p>
    <w:p w:rsidR="001557A5" w:rsidRPr="00341649" w:rsidRDefault="001557A5" w:rsidP="00341649">
      <w:pPr>
        <w:widowControl/>
        <w:adjustRightInd w:val="0"/>
        <w:snapToGrid w:val="0"/>
        <w:spacing w:beforeLines="25" w:before="78" w:afterLines="25" w:after="78" w:line="4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四、相关事项与要求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1.请各校高度重视学员的选拔、推荐工作，坚持标准，结合分配名额进行推报（名额分配见附件1）。在省级集中培训之外，各校要加大对参训学员的培养力度，结合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实践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锻炼、日常学习进行帮带指导。培训期满，由校团委、团省委对参训学员进行逐级鉴定（考核鉴定内容见附件4），团省委将对培训合格的学员颁发结业证书，按照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约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20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%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的比例评选出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“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优秀学员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”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。</w:t>
      </w:r>
    </w:p>
    <w:p w:rsidR="001557A5" w:rsidRPr="00341649" w:rsidRDefault="001557A5" w:rsidP="00CA075F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2.学员集中培训通知将另行下发。其中，线下集中培训期间的食宿等相关培训费用由省学联秘书处承担，往返交通等费用由学员所在学校团委承担。</w:t>
      </w:r>
    </w:p>
    <w:p w:rsidR="001557A5" w:rsidRPr="00341649" w:rsidRDefault="001557A5" w:rsidP="00CA075F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各校将学员推荐表（附件2）、学员推荐名单汇总表（附件3）电子版于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6月20日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前报送至团省委学校部邮箱（其中附件</w:t>
      </w:r>
      <w:proofErr w:type="gramStart"/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2、3须</w:t>
      </w:r>
      <w:proofErr w:type="gramEnd"/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同时报送word版及盖章后的扫描件）。逾期未报的，视为自动放弃。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lastRenderedPageBreak/>
        <w:t>3.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培养期结束前，在学员进行自我鉴定的基础上，各校对所推荐的学员在校表现情况进行综合鉴定，并填写学员鉴定表（附件4），上交时间另行通知。联 系 人：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 xml:space="preserve">李  </w:t>
      </w:r>
      <w:proofErr w:type="gramStart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昕</w:t>
      </w:r>
      <w:proofErr w:type="gramEnd"/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 xml:space="preserve">  黄  冠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联系电话：027-</w:t>
      </w:r>
      <w:proofErr w:type="gramStart"/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8723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5731  87235272</w:t>
      </w:r>
      <w:proofErr w:type="gramEnd"/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电子邮箱：</w:t>
      </w:r>
      <w:hyperlink r:id="rId6" w:history="1">
        <w:r w:rsidRPr="00341649">
          <w:rPr>
            <w:rFonts w:ascii="仿宋" w:eastAsia="仿宋" w:hAnsi="仿宋" w:hint="eastAsia"/>
            <w:color w:val="000000"/>
            <w:kern w:val="0"/>
            <w:sz w:val="32"/>
            <w:szCs w:val="30"/>
          </w:rPr>
          <w:t>ts</w:t>
        </w:r>
        <w:r w:rsidRPr="00341649">
          <w:rPr>
            <w:rFonts w:ascii="仿宋" w:eastAsia="仿宋" w:hAnsi="仿宋"/>
            <w:color w:val="000000"/>
            <w:kern w:val="0"/>
            <w:sz w:val="32"/>
            <w:szCs w:val="30"/>
          </w:rPr>
          <w:t>wxxb05@163.com</w:t>
        </w:r>
      </w:hyperlink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收件地址：湖北省武汉市武昌区东三路5号团省委</w:t>
      </w:r>
    </w:p>
    <w:p w:rsidR="001557A5" w:rsidRPr="00341649" w:rsidRDefault="001557A5" w:rsidP="00341649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0"/>
        </w:rPr>
      </w:pPr>
    </w:p>
    <w:p w:rsidR="001557A5" w:rsidRPr="00341649" w:rsidRDefault="001557A5" w:rsidP="00341649">
      <w:pPr>
        <w:adjustRightInd w:val="0"/>
        <w:snapToGrid w:val="0"/>
        <w:spacing w:line="460" w:lineRule="exact"/>
        <w:ind w:rightChars="400" w:right="840"/>
        <w:jc w:val="right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共青团湖北省委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学校部</w:t>
      </w:r>
      <w:r w:rsidR="00341649">
        <w:rPr>
          <w:rFonts w:ascii="仿宋" w:eastAsia="仿宋" w:hAnsi="仿宋"/>
          <w:color w:val="000000"/>
          <w:kern w:val="0"/>
          <w:sz w:val="32"/>
          <w:szCs w:val="30"/>
        </w:rPr>
        <w:t xml:space="preserve">    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湖北省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学生联合会秘书处</w:t>
      </w:r>
    </w:p>
    <w:p w:rsidR="008B3981" w:rsidRPr="00341649" w:rsidRDefault="001557A5" w:rsidP="005B28CD">
      <w:pPr>
        <w:wordWrap w:val="0"/>
        <w:adjustRightInd w:val="0"/>
        <w:snapToGrid w:val="0"/>
        <w:spacing w:line="460" w:lineRule="exact"/>
        <w:ind w:rightChars="400" w:right="840"/>
        <w:jc w:val="right"/>
        <w:rPr>
          <w:rFonts w:ascii="仿宋" w:eastAsia="仿宋" w:hAnsi="仿宋"/>
          <w:color w:val="000000"/>
          <w:kern w:val="0"/>
          <w:sz w:val="32"/>
          <w:szCs w:val="30"/>
        </w:rPr>
      </w:pP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 xml:space="preserve">  202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3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年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6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月</w:t>
      </w:r>
      <w:r w:rsidRPr="00341649">
        <w:rPr>
          <w:rFonts w:ascii="仿宋" w:eastAsia="仿宋" w:hAnsi="仿宋" w:hint="eastAsia"/>
          <w:color w:val="000000"/>
          <w:kern w:val="0"/>
          <w:sz w:val="32"/>
          <w:szCs w:val="30"/>
        </w:rPr>
        <w:t>7</w:t>
      </w:r>
      <w:r w:rsidRPr="00341649">
        <w:rPr>
          <w:rFonts w:ascii="仿宋" w:eastAsia="仿宋" w:hAnsi="仿宋"/>
          <w:color w:val="000000"/>
          <w:kern w:val="0"/>
          <w:sz w:val="32"/>
          <w:szCs w:val="30"/>
        </w:rPr>
        <w:t>日</w:t>
      </w:r>
      <w:r w:rsidR="005B28CD">
        <w:rPr>
          <w:rFonts w:ascii="仿宋" w:eastAsia="仿宋" w:hAnsi="仿宋" w:hint="eastAsia"/>
          <w:color w:val="000000"/>
          <w:kern w:val="0"/>
          <w:sz w:val="32"/>
          <w:szCs w:val="30"/>
        </w:rPr>
        <w:t xml:space="preserve"> </w:t>
      </w:r>
      <w:r w:rsidR="005B28CD">
        <w:rPr>
          <w:rFonts w:ascii="仿宋" w:eastAsia="仿宋" w:hAnsi="仿宋"/>
          <w:color w:val="000000"/>
          <w:kern w:val="0"/>
          <w:sz w:val="32"/>
          <w:szCs w:val="30"/>
        </w:rPr>
        <w:t xml:space="preserve">  </w:t>
      </w:r>
    </w:p>
    <w:sectPr w:rsidR="008B3981" w:rsidRPr="00341649" w:rsidSect="001557A5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593" w:rsidRDefault="00367593" w:rsidP="001557A5">
      <w:r>
        <w:separator/>
      </w:r>
    </w:p>
  </w:endnote>
  <w:endnote w:type="continuationSeparator" w:id="0">
    <w:p w:rsidR="00367593" w:rsidRDefault="00367593" w:rsidP="001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7A5" w:rsidRPr="001557A5" w:rsidRDefault="001557A5" w:rsidP="00B02DCA"/>
  <w:p w:rsidR="001557A5" w:rsidRDefault="00155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593" w:rsidRDefault="00367593" w:rsidP="001557A5">
      <w:r>
        <w:separator/>
      </w:r>
    </w:p>
  </w:footnote>
  <w:footnote w:type="continuationSeparator" w:id="0">
    <w:p w:rsidR="00367593" w:rsidRDefault="00367593" w:rsidP="0015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1557A5"/>
    <w:rsid w:val="00341649"/>
    <w:rsid w:val="003623A4"/>
    <w:rsid w:val="00367593"/>
    <w:rsid w:val="00413F1D"/>
    <w:rsid w:val="004970D3"/>
    <w:rsid w:val="00590790"/>
    <w:rsid w:val="005B28CD"/>
    <w:rsid w:val="00776719"/>
    <w:rsid w:val="008B3981"/>
    <w:rsid w:val="00981EC3"/>
    <w:rsid w:val="009B6C69"/>
    <w:rsid w:val="00B02DCA"/>
    <w:rsid w:val="00CA075F"/>
    <w:rsid w:val="00D735B6"/>
    <w:rsid w:val="00D95DB9"/>
    <w:rsid w:val="00DB51F5"/>
    <w:rsid w:val="00F165BB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16DBE5-0DC9-48AF-91D8-C312FD5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7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7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wxxb0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婧怡</dc:creator>
  <cp:keywords/>
  <dc:description/>
  <cp:lastModifiedBy>曦文</cp:lastModifiedBy>
  <cp:revision>2</cp:revision>
  <dcterms:created xsi:type="dcterms:W3CDTF">2023-06-09T03:42:00Z</dcterms:created>
  <dcterms:modified xsi:type="dcterms:W3CDTF">2023-06-09T03:42:00Z</dcterms:modified>
</cp:coreProperties>
</file>